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1" w:rsidRPr="007D3358" w:rsidRDefault="007D3358" w:rsidP="007D3358">
      <w:pPr>
        <w:pStyle w:val="Tekstprzypisudolnego"/>
        <w:jc w:val="center"/>
        <w:rPr>
          <w:sz w:val="22"/>
          <w:szCs w:val="22"/>
        </w:rPr>
      </w:pPr>
      <w:r w:rsidRPr="007D3358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7D3358">
        <w:rPr>
          <w:sz w:val="22"/>
          <w:szCs w:val="22"/>
        </w:rPr>
        <w:t>wzór</w:t>
      </w:r>
    </w:p>
    <w:p w:rsidR="007D3358" w:rsidRDefault="007D3358" w:rsidP="000E1561">
      <w:pPr>
        <w:pStyle w:val="Tekstprzypisudolnego"/>
        <w:jc w:val="both"/>
        <w:rPr>
          <w:sz w:val="18"/>
          <w:szCs w:val="18"/>
        </w:rPr>
      </w:pPr>
    </w:p>
    <w:p w:rsidR="007D3358" w:rsidRDefault="007D3358" w:rsidP="000E1561">
      <w:pPr>
        <w:pStyle w:val="Tekstprzypisudolnego"/>
        <w:jc w:val="both"/>
        <w:rPr>
          <w:sz w:val="18"/>
          <w:szCs w:val="18"/>
        </w:rPr>
      </w:pPr>
    </w:p>
    <w:tbl>
      <w:tblPr>
        <w:tblStyle w:val="GridTableLight"/>
        <w:tblW w:w="8850" w:type="dxa"/>
        <w:tblLayout w:type="fixed"/>
        <w:tblLook w:val="0600" w:firstRow="0" w:lastRow="0" w:firstColumn="0" w:lastColumn="0" w:noHBand="1" w:noVBand="1"/>
      </w:tblPr>
      <w:tblGrid>
        <w:gridCol w:w="2552"/>
        <w:gridCol w:w="6298"/>
      </w:tblGrid>
      <w:tr w:rsidR="007D3358" w:rsidRPr="00751F87" w:rsidTr="00263718">
        <w:trPr>
          <w:trHeight w:val="37"/>
        </w:trPr>
        <w:tc>
          <w:tcPr>
            <w:tcW w:w="8850" w:type="dxa"/>
            <w:gridSpan w:val="2"/>
            <w:shd w:val="clear" w:color="auto" w:fill="002060"/>
          </w:tcPr>
          <w:p w:rsidR="007D3358" w:rsidRPr="00751F87" w:rsidRDefault="007D3358" w:rsidP="00263718">
            <w:pPr>
              <w:jc w:val="center"/>
              <w:rPr>
                <w:rFonts w:eastAsia="Times New Roman" w:cstheme="minorHAnsi"/>
                <w:b/>
              </w:rPr>
            </w:pPr>
            <w:r w:rsidRPr="00751F87">
              <w:rPr>
                <w:rFonts w:eastAsia="Times New Roman" w:cstheme="minorHAnsi"/>
                <w:b/>
              </w:rPr>
              <w:t>Karta przedsięwzięcia rewitalizacyjnego</w:t>
            </w:r>
            <w:r w:rsidRPr="00751F87">
              <w:rPr>
                <w:rFonts w:eastAsia="Times New Roman" w:cstheme="minorHAnsi"/>
                <w:b/>
              </w:rPr>
              <w:br/>
              <w:t xml:space="preserve"> Gminnego Program Rewitalizacji Gminy Nysa – aktualizacja </w:t>
            </w:r>
            <w:r>
              <w:rPr>
                <w:rFonts w:eastAsia="Times New Roman" w:cstheme="minorHAnsi"/>
                <w:b/>
              </w:rPr>
              <w:t xml:space="preserve"> maj </w:t>
            </w:r>
            <w:r w:rsidRPr="00751F87">
              <w:rPr>
                <w:rFonts w:eastAsia="Times New Roman" w:cstheme="minorHAnsi"/>
                <w:b/>
              </w:rPr>
              <w:t>2023</w:t>
            </w:r>
          </w:p>
        </w:tc>
      </w:tr>
      <w:tr w:rsidR="007D3358" w:rsidRPr="00751F87" w:rsidTr="00263718">
        <w:trPr>
          <w:trHeight w:val="175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Nazwa przedsięwzięcia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7D3358" w:rsidRPr="00751F87" w:rsidTr="00263718">
        <w:trPr>
          <w:trHeight w:val="1233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Inicjator i pozostałe podmioty uczestniczące w realizacji przedsięwzięcia (nazwa, dane kontaktowe: adres email, telefon)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</w:p>
        </w:tc>
      </w:tr>
      <w:tr w:rsidR="007D3358" w:rsidRPr="00751F87" w:rsidTr="00263718">
        <w:trPr>
          <w:trHeight w:val="359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Lokalizacja przedsięwzięcia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  <w:iCs/>
              </w:rPr>
            </w:pPr>
            <w:r w:rsidRPr="00751F87">
              <w:rPr>
                <w:rFonts w:eastAsia="Times New Roman" w:cstheme="minorHAnsi"/>
                <w:iCs/>
              </w:rPr>
              <w:t>Adres………………………………………………………………………………………………………………………………………………………………………………………….……………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  <w:iCs/>
              </w:rPr>
            </w:pPr>
            <w:r w:rsidRPr="00751F87">
              <w:rPr>
                <w:rFonts w:eastAsia="Times New Roman" w:cstheme="minorHAnsi"/>
                <w:iCs/>
              </w:rPr>
              <w:t>Uzasadnienie położenia projektu poza obszarem rewitalizacji: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  <w:iCs/>
              </w:rPr>
            </w:pPr>
            <w:r w:rsidRPr="00751F87">
              <w:rPr>
                <w:rFonts w:eastAsia="Times New Roman" w:cstheme="minorHAnsi"/>
                <w:iCs/>
              </w:rPr>
              <w:t>………………………………………………………………………………………….………………………………………………………………………………………………..…………………..</w:t>
            </w:r>
          </w:p>
        </w:tc>
      </w:tr>
      <w:tr w:rsidR="007D3358" w:rsidRPr="00751F87" w:rsidTr="00263718">
        <w:trPr>
          <w:trHeight w:val="1111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Opis przedsięwzięcia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  <w:u w:val="single"/>
              </w:rPr>
            </w:pPr>
            <w:r w:rsidRPr="00751F87">
              <w:rPr>
                <w:rFonts w:eastAsia="Times New Roman" w:cstheme="minorHAnsi"/>
                <w:u w:val="single"/>
              </w:rPr>
              <w:t>Problemy obszaru rewitalizacji, które rozwiązuje przedsięwzięcie: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  <w:u w:val="single"/>
              </w:rPr>
            </w:pP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</w:p>
          <w:p w:rsidR="007D3358" w:rsidRPr="00751F87" w:rsidRDefault="007D3358" w:rsidP="00263718">
            <w:pPr>
              <w:rPr>
                <w:rFonts w:eastAsia="Times New Roman" w:cstheme="minorHAnsi"/>
                <w:u w:val="single"/>
              </w:rPr>
            </w:pPr>
            <w:r w:rsidRPr="00751F87">
              <w:rPr>
                <w:rFonts w:eastAsia="Times New Roman" w:cstheme="minorHAnsi"/>
                <w:u w:val="single"/>
              </w:rPr>
              <w:t>Główny cel projektu: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  <w:u w:val="single"/>
              </w:rPr>
            </w:pP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</w:p>
          <w:p w:rsidR="007D3358" w:rsidRPr="00751F87" w:rsidRDefault="007D3358" w:rsidP="00263718">
            <w:pPr>
              <w:rPr>
                <w:rFonts w:eastAsia="Times New Roman" w:cstheme="minorHAnsi"/>
                <w:u w:val="single"/>
              </w:rPr>
            </w:pPr>
            <w:r w:rsidRPr="00751F87">
              <w:rPr>
                <w:rFonts w:eastAsia="Times New Roman" w:cstheme="minorHAnsi"/>
                <w:u w:val="single"/>
              </w:rPr>
              <w:t>Zakres realizowanych zadań: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  <w:u w:val="single"/>
              </w:rPr>
            </w:pPr>
            <w:bookmarkStart w:id="0" w:name="_GoBack"/>
            <w:bookmarkEnd w:id="0"/>
          </w:p>
        </w:tc>
      </w:tr>
      <w:tr w:rsidR="007D3358" w:rsidRPr="00751F87" w:rsidTr="00263718">
        <w:trPr>
          <w:trHeight w:val="458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 xml:space="preserve">Spójność z celami 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7D3358" w:rsidRPr="00751F87" w:rsidTr="00263718">
        <w:trPr>
          <w:trHeight w:val="741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Prognozowane rezultaty wraz ze sposobem ich oceny w odniesieniu do celów rewitalizacji</w:t>
            </w:r>
          </w:p>
        </w:tc>
        <w:tc>
          <w:tcPr>
            <w:tcW w:w="6298" w:type="dxa"/>
          </w:tcPr>
          <w:p w:rsidR="007D3358" w:rsidRDefault="007D3358" w:rsidP="00263718">
            <w:pPr>
              <w:rPr>
                <w:rFonts w:eastAsia="Times New Roman" w:cstheme="minorHAnsi"/>
              </w:rPr>
            </w:pPr>
          </w:p>
          <w:p w:rsidR="007D3358" w:rsidRPr="00211526" w:rsidRDefault="007D3358" w:rsidP="00263718">
            <w:pPr>
              <w:rPr>
                <w:rFonts w:eastAsia="Times New Roman" w:cstheme="minorHAnsi"/>
                <w:vertAlign w:val="superscript"/>
              </w:rPr>
            </w:pPr>
            <w:r w:rsidRPr="00751F87">
              <w:rPr>
                <w:rFonts w:eastAsia="Times New Roman" w:cstheme="minorHAnsi"/>
              </w:rPr>
              <w:t>Wskaźniki produktu:……………………………………</w:t>
            </w:r>
            <w:r>
              <w:rPr>
                <w:rFonts w:eastAsia="Times New Roman" w:cstheme="minorHAnsi"/>
              </w:rPr>
              <w:t>…………..</w:t>
            </w:r>
            <w:r w:rsidRPr="00751F87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  <w:vertAlign w:val="superscript"/>
              </w:rPr>
              <w:t>1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Sposób pomiaru:………………………………………………………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Wskaźniki rezultatu:……………………………………</w:t>
            </w:r>
            <w:r>
              <w:rPr>
                <w:rFonts w:eastAsia="Times New Roman" w:cstheme="minorHAnsi"/>
              </w:rPr>
              <w:t>…………..</w:t>
            </w:r>
            <w:r w:rsidRPr="00751F87">
              <w:rPr>
                <w:rFonts w:eastAsia="Times New Roman" w:cstheme="minorHAnsi"/>
              </w:rPr>
              <w:t>.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Sposób pomiaru:………………………………………………………</w:t>
            </w:r>
          </w:p>
          <w:p w:rsidR="007D3358" w:rsidRPr="00751F87" w:rsidRDefault="007D3358" w:rsidP="00263718">
            <w:pPr>
              <w:rPr>
                <w:rFonts w:eastAsia="Times New Roman" w:cstheme="minorHAnsi"/>
              </w:rPr>
            </w:pPr>
          </w:p>
          <w:p w:rsidR="007D3358" w:rsidRPr="00751F87" w:rsidRDefault="007D3358" w:rsidP="00263718">
            <w:pPr>
              <w:rPr>
                <w:rFonts w:eastAsia="Times New Roman" w:cstheme="minorHAnsi"/>
                <w:i/>
              </w:rPr>
            </w:pPr>
            <w:r w:rsidRPr="002B56F5">
              <w:rPr>
                <w:rFonts w:eastAsia="Times New Roman" w:cstheme="minorHAnsi"/>
                <w:i/>
                <w:color w:val="00B050"/>
              </w:rPr>
              <w:t xml:space="preserve">(należy wskazać nazwę oraz wartość zarówno wskaźnika produktu, jak i rezultatu) </w:t>
            </w:r>
          </w:p>
        </w:tc>
      </w:tr>
      <w:tr w:rsidR="007D3358" w:rsidRPr="00751F87" w:rsidTr="00263718">
        <w:trPr>
          <w:trHeight w:val="1235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lastRenderedPageBreak/>
              <w:t xml:space="preserve">Opis działań zapewniających dostępność osobom ze szczególnymi potrzebami w tym zakresie </w:t>
            </w:r>
          </w:p>
        </w:tc>
        <w:tc>
          <w:tcPr>
            <w:tcW w:w="6298" w:type="dxa"/>
          </w:tcPr>
          <w:p w:rsidR="007D3358" w:rsidRPr="001E6EFA" w:rsidRDefault="007D3358" w:rsidP="00263718">
            <w:pPr>
              <w:rPr>
                <w:rFonts w:eastAsia="Times New Roman" w:cstheme="minorHAnsi"/>
                <w:i/>
              </w:rPr>
            </w:pPr>
            <w:r w:rsidRPr="001E6EFA">
              <w:rPr>
                <w:rFonts w:eastAsia="Times New Roman" w:cstheme="minorHAnsi"/>
                <w:i/>
                <w:color w:val="00B050"/>
              </w:rPr>
              <w:t>(należy opisać dostępność dla osób ze szczególnymi potrzebami w ramach realizowanego projektu, zgodnie z wymogami określonymi w art. 6 ustawy z dnia 16 lipca 2019 r. o zapewnieniu dostępności osobom ze szczególnymi potrzebami)</w:t>
            </w:r>
          </w:p>
        </w:tc>
      </w:tr>
      <w:tr w:rsidR="007D3358" w:rsidRPr="00751F87" w:rsidTr="00263718">
        <w:trPr>
          <w:trHeight w:val="342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Czas realizacji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2B56F5">
              <w:rPr>
                <w:rFonts w:eastAsia="Times New Roman" w:cstheme="minorHAnsi"/>
                <w:i/>
                <w:color w:val="00B050"/>
              </w:rPr>
              <w:t xml:space="preserve">(należy </w:t>
            </w:r>
            <w:r>
              <w:rPr>
                <w:rFonts w:eastAsia="Times New Roman" w:cstheme="minorHAnsi"/>
                <w:i/>
                <w:color w:val="00B050"/>
              </w:rPr>
              <w:t>podać miesiąc i rok rozpoczęcia i zakończenia</w:t>
            </w:r>
            <w:r w:rsidRPr="002B56F5">
              <w:rPr>
                <w:rFonts w:eastAsia="Times New Roman" w:cstheme="minorHAnsi"/>
                <w:i/>
                <w:color w:val="00B050"/>
              </w:rPr>
              <w:t>)</w:t>
            </w:r>
          </w:p>
        </w:tc>
      </w:tr>
      <w:tr w:rsidR="007D3358" w:rsidRPr="00751F87" w:rsidTr="00263718">
        <w:trPr>
          <w:trHeight w:val="620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 xml:space="preserve">Szacowana </w:t>
            </w:r>
            <w:r>
              <w:rPr>
                <w:rFonts w:eastAsia="Times New Roman" w:cstheme="minorHAnsi"/>
              </w:rPr>
              <w:t xml:space="preserve">całkowita </w:t>
            </w:r>
            <w:r w:rsidRPr="00751F87">
              <w:rPr>
                <w:rFonts w:eastAsia="Times New Roman" w:cstheme="minorHAnsi"/>
              </w:rPr>
              <w:t>wartość przedsięwzięcia w zł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</w:p>
        </w:tc>
      </w:tr>
      <w:tr w:rsidR="007D3358" w:rsidRPr="00751F87" w:rsidTr="00263718">
        <w:trPr>
          <w:trHeight w:val="216"/>
        </w:trPr>
        <w:tc>
          <w:tcPr>
            <w:tcW w:w="2552" w:type="dxa"/>
          </w:tcPr>
          <w:p w:rsidR="007D3358" w:rsidRPr="00751F87" w:rsidRDefault="007D3358" w:rsidP="00263718">
            <w:pPr>
              <w:rPr>
                <w:rFonts w:eastAsia="Times New Roman" w:cstheme="minorHAnsi"/>
              </w:rPr>
            </w:pPr>
            <w:r w:rsidRPr="00751F87">
              <w:rPr>
                <w:rFonts w:eastAsia="Times New Roman" w:cstheme="minorHAnsi"/>
              </w:rPr>
              <w:t>Potencjalne źródła finansowania</w:t>
            </w:r>
          </w:p>
        </w:tc>
        <w:tc>
          <w:tcPr>
            <w:tcW w:w="6298" w:type="dxa"/>
          </w:tcPr>
          <w:p w:rsidR="007D3358" w:rsidRPr="00751F87" w:rsidRDefault="007D3358" w:rsidP="00263718">
            <w:pPr>
              <w:rPr>
                <w:rFonts w:eastAsia="Times New Roman" w:cstheme="minorHAnsi"/>
                <w:lang w:eastAsia="pl-PL"/>
              </w:rPr>
            </w:pPr>
            <w:r w:rsidRPr="002B56F5">
              <w:rPr>
                <w:rFonts w:eastAsia="Times New Roman" w:cstheme="minorHAnsi"/>
                <w:i/>
                <w:color w:val="00B050"/>
              </w:rPr>
              <w:t xml:space="preserve">(należy </w:t>
            </w:r>
            <w:r>
              <w:rPr>
                <w:rFonts w:eastAsia="Times New Roman" w:cstheme="minorHAnsi"/>
                <w:i/>
                <w:color w:val="00B050"/>
              </w:rPr>
              <w:t>wskazać nazwę funduszu oraz planowaną kwotę dofinansowania</w:t>
            </w:r>
            <w:r w:rsidRPr="002B56F5">
              <w:rPr>
                <w:rFonts w:eastAsia="Times New Roman" w:cstheme="minorHAnsi"/>
                <w:i/>
                <w:color w:val="00B050"/>
              </w:rPr>
              <w:t>)</w:t>
            </w:r>
          </w:p>
        </w:tc>
      </w:tr>
    </w:tbl>
    <w:p w:rsidR="007D3358" w:rsidRDefault="007D3358" w:rsidP="000E1561">
      <w:pPr>
        <w:pStyle w:val="Tekstprzypisudolnego"/>
        <w:jc w:val="both"/>
        <w:rPr>
          <w:sz w:val="18"/>
          <w:szCs w:val="18"/>
        </w:rPr>
      </w:pPr>
    </w:p>
    <w:p w:rsidR="000E1561" w:rsidRDefault="000E1561" w:rsidP="000E1561">
      <w:pPr>
        <w:pStyle w:val="Tekstprzypisudolnego"/>
        <w:jc w:val="both"/>
        <w:rPr>
          <w:sz w:val="18"/>
          <w:szCs w:val="18"/>
        </w:rPr>
      </w:pPr>
    </w:p>
    <w:p w:rsidR="000E1561" w:rsidRDefault="000E1561" w:rsidP="000E1561">
      <w:pPr>
        <w:pStyle w:val="Tekstprzypisudolnego"/>
        <w:jc w:val="both"/>
        <w:rPr>
          <w:i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przypadku projektów kierowanych do dofinansowania FEO 2021-2027 obowiązują założenia systemu wskaźników ujęte w </w:t>
      </w:r>
      <w:r>
        <w:rPr>
          <w:i/>
          <w:sz w:val="18"/>
          <w:szCs w:val="18"/>
        </w:rPr>
        <w:t xml:space="preserve">Wytycznych w zakresie monitorowania postępu rzeczowego realizacji programów na lata 2021-2027 </w:t>
      </w:r>
      <w:hyperlink r:id="rId8" w:history="1">
        <w:r>
          <w:rPr>
            <w:rStyle w:val="Hipercze"/>
            <w:i/>
            <w:sz w:val="18"/>
            <w:szCs w:val="18"/>
          </w:rPr>
          <w:t>https://www.funduszeeuropejskie.gov.pl/strony/o-funduszach/fundusze-na-lata-2021-2027/prawo-i-dokumenty/wytyczne/wytyczne-dotyczace-monitorowania-postepu-rzeczowego-realizacji-programow-na-lata-2021-2027/</w:t>
        </w:r>
      </w:hyperlink>
      <w:r>
        <w:rPr>
          <w:i/>
        </w:rPr>
        <w:t xml:space="preserve"> </w:t>
      </w:r>
      <w:r>
        <w:rPr>
          <w:sz w:val="18"/>
          <w:szCs w:val="18"/>
        </w:rPr>
        <w:t xml:space="preserve">oraz w dokumencie </w:t>
      </w:r>
      <w:r>
        <w:rPr>
          <w:i/>
          <w:sz w:val="18"/>
          <w:szCs w:val="18"/>
        </w:rPr>
        <w:t xml:space="preserve">Lista Wskaźników Kluczowych 2021-2027 </w:t>
      </w:r>
      <w:hyperlink r:id="rId9" w:history="1">
        <w:r>
          <w:rPr>
            <w:rStyle w:val="Hipercze"/>
            <w:i/>
            <w:sz w:val="18"/>
            <w:szCs w:val="18"/>
          </w:rPr>
          <w:t>https://www.ewaluacja.gov.pl/media/111638/LWK_EFS_10_2022_v2.docx</w:t>
        </w:r>
      </w:hyperlink>
      <w:r>
        <w:rPr>
          <w:i/>
        </w:rPr>
        <w:t xml:space="preserve"> </w:t>
      </w:r>
    </w:p>
    <w:p w:rsidR="000E1561" w:rsidRDefault="000E1561" w:rsidP="000E1561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Doprecyzowanie wskaźników dla działań rewitalizacyjnych nastąpi w Szczegółowym Opisie Osi Priorytetowych dla FEO 2021-2027</w:t>
      </w:r>
    </w:p>
    <w:p w:rsidR="000E1561" w:rsidRDefault="00791C02" w:rsidP="000E1561">
      <w:pPr>
        <w:rPr>
          <w:rFonts w:cstheme="minorHAnsi"/>
          <w:i/>
          <w:sz w:val="18"/>
          <w:szCs w:val="18"/>
          <w:u w:val="single"/>
        </w:rPr>
      </w:pPr>
      <w:hyperlink r:id="rId10" w:history="1">
        <w:r w:rsidR="007A536B" w:rsidRPr="002873D9">
          <w:rPr>
            <w:rStyle w:val="Hipercze"/>
            <w:rFonts w:cstheme="minorHAnsi"/>
            <w:i/>
            <w:sz w:val="18"/>
            <w:szCs w:val="18"/>
          </w:rPr>
          <w:t>https://rpo.opolskie.pl/?p=48451</w:t>
        </w:r>
      </w:hyperlink>
    </w:p>
    <w:p w:rsidR="000E1561" w:rsidRPr="00751F87" w:rsidRDefault="000E1561" w:rsidP="000E1561">
      <w:pPr>
        <w:rPr>
          <w:rFonts w:cstheme="minorHAnsi"/>
        </w:rPr>
      </w:pPr>
    </w:p>
    <w:p w:rsidR="000E1561" w:rsidRPr="00751F87" w:rsidRDefault="000E1561" w:rsidP="000E1561">
      <w:pPr>
        <w:jc w:val="both"/>
        <w:rPr>
          <w:rFonts w:cstheme="minorHAnsi"/>
        </w:rPr>
      </w:pPr>
      <w:r w:rsidRPr="00751F87">
        <w:rPr>
          <w:rFonts w:cstheme="minorHAnsi"/>
        </w:rPr>
        <w:t>Klauzula informacyjna:</w:t>
      </w:r>
    </w:p>
    <w:p w:rsidR="000E1561" w:rsidRPr="00751F87" w:rsidRDefault="000E1561" w:rsidP="000E1561">
      <w:pPr>
        <w:spacing w:after="0" w:line="276" w:lineRule="auto"/>
        <w:jc w:val="both"/>
        <w:rPr>
          <w:rFonts w:cstheme="minorHAnsi"/>
        </w:rPr>
      </w:pPr>
      <w:r w:rsidRPr="00751F87">
        <w:rPr>
          <w:rFonts w:cstheme="minorHAnsi"/>
        </w:rPr>
        <w:t>Zgodnie z art. 13</w:t>
      </w:r>
      <w:r w:rsidRPr="00751F87">
        <w:rPr>
          <w:rFonts w:cstheme="minorHAnsi"/>
          <w:color w:val="FF0000"/>
        </w:rPr>
        <w:t xml:space="preserve"> </w:t>
      </w:r>
      <w:r w:rsidRPr="00751F87">
        <w:rPr>
          <w:rFonts w:cstheme="minorHAnsi"/>
        </w:rPr>
        <w:t>ust. 1 i 2 Rozporządzenia Parlamentu Europejskiego i Rady (UE) 2016/679 z 27 kwietnia 2016 r.  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:rsidR="000E1561" w:rsidRPr="00751F87" w:rsidRDefault="000E1561" w:rsidP="000E1561">
      <w:pPr>
        <w:spacing w:after="0" w:line="276" w:lineRule="auto"/>
        <w:ind w:firstLine="567"/>
        <w:jc w:val="both"/>
        <w:rPr>
          <w:rFonts w:cstheme="minorHAnsi"/>
        </w:rPr>
      </w:pPr>
    </w:p>
    <w:p w:rsidR="000E1561" w:rsidRPr="00751F87" w:rsidRDefault="000E1561" w:rsidP="000E1561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1F87">
        <w:rPr>
          <w:rFonts w:asciiTheme="minorHAnsi" w:hAnsiTheme="minorHAnsi" w:cstheme="minorHAnsi"/>
          <w:sz w:val="22"/>
          <w:szCs w:val="22"/>
        </w:rPr>
        <w:t>Administratorem Pani/Pana danych osobowych jest Gmina Nysa z siedzibą w Nysie, ul. Kolejowa 15, 48-300 Nysa, adres e-mail: nysa@www.nysa.pl, telefon: 77 40 80 500, reprezentowana przez Burmistrza Nysy.</w:t>
      </w:r>
    </w:p>
    <w:p w:rsidR="000E1561" w:rsidRPr="00751F87" w:rsidRDefault="000E1561" w:rsidP="000E1561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1F87">
        <w:rPr>
          <w:rFonts w:asciiTheme="minorHAnsi" w:hAnsiTheme="minorHAnsi" w:cstheme="minorHAnsi"/>
          <w:sz w:val="22"/>
          <w:szCs w:val="22"/>
        </w:rPr>
        <w:t>W sprawach związanych z ochroną danych osobowych można kontaktować się  z Inspektorem Ochrony Danych w Gminie Nysa, na  adres e-mail: iod@www.nysa.pl, lub adres siedziby Administratora.</w:t>
      </w:r>
    </w:p>
    <w:p w:rsidR="000E1561" w:rsidRPr="00751F87" w:rsidRDefault="000E1561" w:rsidP="000E1561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1F87">
        <w:rPr>
          <w:rFonts w:asciiTheme="minorHAnsi" w:hAnsiTheme="minorHAnsi" w:cstheme="minorHAnsi"/>
          <w:sz w:val="22"/>
          <w:szCs w:val="22"/>
        </w:rPr>
        <w:t xml:space="preserve">Podanie przez Panią/Pana danych osobowych jest dobrowolne lecz niezbędne w celu realizacji zadań związanych z Naborem przedsięwzięć rewitalizacyjnych w procesie opracowania aktualizacji Gminnego Programu Rewitalizacji </w:t>
      </w:r>
      <w:r w:rsidRPr="00BB03A7">
        <w:rPr>
          <w:rFonts w:asciiTheme="minorHAnsi" w:hAnsiTheme="minorHAnsi" w:cstheme="minorHAnsi"/>
          <w:color w:val="000000" w:themeColor="text1"/>
          <w:sz w:val="22"/>
          <w:szCs w:val="22"/>
        </w:rPr>
        <w:t>Gminy Nysa do 2030 r.</w:t>
      </w:r>
    </w:p>
    <w:p w:rsidR="000E1561" w:rsidRPr="00751F87" w:rsidRDefault="000E1561" w:rsidP="000E1561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751F87">
        <w:rPr>
          <w:rFonts w:cstheme="minorHAnsi"/>
        </w:rPr>
        <w:t>Przetwarzanie Pani/Pana danych osobowych będzie się odbywać na podstawie art. 6 ust. 1 lit,</w:t>
      </w:r>
      <w:r w:rsidRPr="00751F87">
        <w:rPr>
          <w:rFonts w:cstheme="minorHAnsi"/>
          <w:color w:val="000000" w:themeColor="text1"/>
        </w:rPr>
        <w:t xml:space="preserve"> c </w:t>
      </w:r>
      <w:r w:rsidRPr="00751F87">
        <w:rPr>
          <w:rFonts w:cstheme="minorHAnsi"/>
        </w:rPr>
        <w:t>unijnego rozporządzenia RODO, w celu realizacji zadań związanych z:</w:t>
      </w:r>
    </w:p>
    <w:p w:rsidR="000E1561" w:rsidRPr="000E3470" w:rsidRDefault="000E1561" w:rsidP="000E15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cstheme="minorHAnsi"/>
          <w:color w:val="000000" w:themeColor="text1"/>
        </w:rPr>
      </w:pPr>
      <w:r w:rsidRPr="00751F87">
        <w:rPr>
          <w:rFonts w:cstheme="minorHAnsi"/>
        </w:rPr>
        <w:t xml:space="preserve">Naborem przedsięwzięć rewitalizacyjnych w procesie opracowania aktualizacji Gminnego Programu Rewitalizacji Gminy Nysa do roku 2030 , zgodnie z art. 6 ust. 1 lit. c) RODO – wykonanie zadania </w:t>
      </w:r>
      <w:bookmarkStart w:id="1" w:name="_Hlk132356186"/>
      <w:r w:rsidRPr="00751F87">
        <w:rPr>
          <w:rFonts w:cstheme="minorHAnsi"/>
        </w:rPr>
        <w:t xml:space="preserve">niezbędnego do wykonania obowiązku prawnego w związku z ustawą </w:t>
      </w:r>
      <w:r w:rsidRPr="000E3470">
        <w:rPr>
          <w:rFonts w:cstheme="minorHAnsi"/>
          <w:color w:val="000000" w:themeColor="text1"/>
        </w:rPr>
        <w:t xml:space="preserve">o </w:t>
      </w:r>
      <w:r w:rsidR="00BB03A7">
        <w:rPr>
          <w:rFonts w:cstheme="minorHAnsi"/>
          <w:color w:val="000000" w:themeColor="text1"/>
        </w:rPr>
        <w:t>rewitalizacji (Dz. U. z 2021 r. poz. 485</w:t>
      </w:r>
      <w:r w:rsidRPr="000E3470">
        <w:rPr>
          <w:rFonts w:cstheme="minorHAnsi"/>
          <w:color w:val="000000" w:themeColor="text1"/>
        </w:rPr>
        <w:t xml:space="preserve"> </w:t>
      </w:r>
      <w:r w:rsidRPr="00BB03A7">
        <w:rPr>
          <w:rFonts w:cstheme="minorHAnsi"/>
          <w:color w:val="000000" w:themeColor="text1"/>
        </w:rPr>
        <w:t xml:space="preserve">z </w:t>
      </w:r>
      <w:proofErr w:type="spellStart"/>
      <w:r w:rsidRPr="00BB03A7">
        <w:rPr>
          <w:rFonts w:cstheme="minorHAnsi"/>
          <w:color w:val="000000" w:themeColor="text1"/>
        </w:rPr>
        <w:t>późn</w:t>
      </w:r>
      <w:proofErr w:type="spellEnd"/>
      <w:r w:rsidRPr="00BB03A7">
        <w:rPr>
          <w:rFonts w:cstheme="minorHAnsi"/>
          <w:color w:val="000000" w:themeColor="text1"/>
        </w:rPr>
        <w:t>. zm.),</w:t>
      </w:r>
      <w:bookmarkEnd w:id="1"/>
    </w:p>
    <w:p w:rsidR="000E1561" w:rsidRPr="00751F87" w:rsidRDefault="000E1561" w:rsidP="000E15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cstheme="minorHAnsi"/>
        </w:rPr>
      </w:pPr>
      <w:r w:rsidRPr="00751F87">
        <w:rPr>
          <w:rFonts w:cstheme="minorHAnsi"/>
        </w:rPr>
        <w:lastRenderedPageBreak/>
        <w:t xml:space="preserve">W celach archiwizacyjnych, na podstawie art. 6 ust. 1 lit. c) RODO w związku z ustawą z dnia 14 lipca 1983 r. o narodowym zasobie archiwalnym i archiwach (Dz. U. z 2020 r., poz. 164 z </w:t>
      </w:r>
      <w:proofErr w:type="spellStart"/>
      <w:r w:rsidRPr="00751F87">
        <w:rPr>
          <w:rFonts w:cstheme="minorHAnsi"/>
        </w:rPr>
        <w:t>późn</w:t>
      </w:r>
      <w:proofErr w:type="spellEnd"/>
      <w:r w:rsidRPr="00751F87">
        <w:rPr>
          <w:rFonts w:cstheme="minorHAnsi"/>
        </w:rPr>
        <w:t>. zm.)</w:t>
      </w:r>
    </w:p>
    <w:p w:rsidR="000E1561" w:rsidRPr="00751F87" w:rsidRDefault="000E1561" w:rsidP="000E1561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cstheme="minorHAnsi"/>
        </w:rPr>
      </w:pPr>
      <w:r w:rsidRPr="00751F87">
        <w:rPr>
          <w:rFonts w:cstheme="minorHAnsi"/>
        </w:rPr>
        <w:t xml:space="preserve">Pani/Pana dane osobowe będą przetwarzane przez okres niezbędny do realizacji zadania o którym mowa w pkt. 4. Ponadto Pani/Pana dane osobowe będą przetwarzane przez okres wynikający </w:t>
      </w:r>
      <w:r w:rsidRPr="00751F87">
        <w:rPr>
          <w:rFonts w:cstheme="minorHAnsi"/>
          <w:color w:val="000000" w:themeColor="text1"/>
        </w:rPr>
        <w:t>z</w:t>
      </w:r>
      <w:r w:rsidRPr="00751F87">
        <w:rPr>
          <w:rFonts w:cstheme="minorHAnsi"/>
          <w:color w:val="00B050"/>
        </w:rPr>
        <w:t xml:space="preserve"> </w:t>
      </w:r>
      <w:r w:rsidRPr="00751F87">
        <w:rPr>
          <w:rFonts w:cstheme="minorHAnsi"/>
        </w:rPr>
        <w:t>obowiązujących przepisów prawa dotyczących archiwizacji.</w:t>
      </w:r>
    </w:p>
    <w:p w:rsidR="000E1561" w:rsidRPr="00751F87" w:rsidRDefault="000E1561" w:rsidP="000E1561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cstheme="minorHAnsi"/>
          <w:color w:val="00B050"/>
        </w:rPr>
      </w:pPr>
      <w:r w:rsidRPr="00751F87">
        <w:rPr>
          <w:rFonts w:cstheme="minorHAnsi"/>
        </w:rPr>
        <w:t>W przypadku uznania, iż przetwarzanie Pani/Pana danych osobowych narusza przepisy unijnego rozporządzenia RODO, posiada Pani/Pan prawo wniesienia skargi do Prezesa Urzędu Ochrony Danych Osobowych</w:t>
      </w:r>
      <w:r w:rsidRPr="00751F87">
        <w:rPr>
          <w:rFonts w:cstheme="minorHAnsi"/>
          <w:color w:val="00B050"/>
        </w:rPr>
        <w:t xml:space="preserve"> </w:t>
      </w:r>
      <w:r w:rsidRPr="00751F87">
        <w:rPr>
          <w:rFonts w:cstheme="minorHAnsi"/>
        </w:rPr>
        <w:t>(ul. Stawki 2, 00-193 Warszawa).</w:t>
      </w:r>
    </w:p>
    <w:p w:rsidR="000E1561" w:rsidRPr="00751F87" w:rsidRDefault="000E1561" w:rsidP="000E1561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751F87">
        <w:rPr>
          <w:rFonts w:asciiTheme="minorHAnsi" w:hAnsiTheme="minorHAnsi" w:cstheme="minorHAnsi"/>
          <w:sz w:val="22"/>
          <w:szCs w:val="22"/>
        </w:rPr>
        <w:t>Przysługuje Pani/Panu prawo dostępu do treści swoich danych osobowych, do ich sprostowania, usunięcia, ograniczenia ich przetwarzania, do przenoszenia danych oraz wniesienia sprzeciwu wobec ich przetwarzania, na zasadach określonych w RODO.</w:t>
      </w:r>
    </w:p>
    <w:p w:rsidR="000E1561" w:rsidRPr="00751F87" w:rsidRDefault="000E1561" w:rsidP="000E1561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1F87">
        <w:rPr>
          <w:rFonts w:asciiTheme="minorHAnsi" w:hAnsiTheme="minorHAnsi" w:cstheme="minorHAnsi"/>
          <w:sz w:val="22"/>
          <w:szCs w:val="22"/>
        </w:rPr>
        <w:t xml:space="preserve">Odbiorcami Pani/Pana danych osobowych będą te podmioty, którym Administrator danych osobowych ma obowiązek przekazywać dane na gruncie obowiązujących przepisów prawa oraz podmioty przetwarzające dane osobowe na zlecenie Administratora, w związku z wykonywaniem powierzonego im zadania w drodze zawartej umowy lub porozumienia, m. in dostawcy IT. </w:t>
      </w:r>
    </w:p>
    <w:p w:rsidR="000E1561" w:rsidRPr="00751F87" w:rsidRDefault="000E1561" w:rsidP="000E1561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1F87">
        <w:rPr>
          <w:rFonts w:asciiTheme="minorHAnsi" w:hAnsiTheme="minorHAnsi" w:cstheme="minorHAnsi"/>
          <w:sz w:val="22"/>
          <w:szCs w:val="22"/>
        </w:rPr>
        <w:t>Pani/Pana dane osobowe nie będą przetwarzane w sposób zautomatyzowany i nie będą profilowane.</w:t>
      </w:r>
    </w:p>
    <w:p w:rsidR="00952697" w:rsidRDefault="00952697"/>
    <w:sectPr w:rsidR="009526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02" w:rsidRDefault="00791C02" w:rsidP="007D3358">
      <w:pPr>
        <w:spacing w:after="0" w:line="240" w:lineRule="auto"/>
      </w:pPr>
      <w:r>
        <w:separator/>
      </w:r>
    </w:p>
  </w:endnote>
  <w:endnote w:type="continuationSeparator" w:id="0">
    <w:p w:rsidR="00791C02" w:rsidRDefault="00791C0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02" w:rsidRDefault="00791C02" w:rsidP="007D3358">
      <w:pPr>
        <w:spacing w:after="0" w:line="240" w:lineRule="auto"/>
      </w:pPr>
      <w:r>
        <w:separator/>
      </w:r>
    </w:p>
  </w:footnote>
  <w:footnote w:type="continuationSeparator" w:id="0">
    <w:p w:rsidR="00791C02" w:rsidRDefault="00791C0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0CF3"/>
    <w:multiLevelType w:val="hybridMultilevel"/>
    <w:tmpl w:val="D3420874"/>
    <w:lvl w:ilvl="0" w:tplc="C2583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61"/>
    <w:rsid w:val="000E1561"/>
    <w:rsid w:val="000E3470"/>
    <w:rsid w:val="001E6EFA"/>
    <w:rsid w:val="002B56F5"/>
    <w:rsid w:val="0064530A"/>
    <w:rsid w:val="00732F7B"/>
    <w:rsid w:val="00791C02"/>
    <w:rsid w:val="007A536B"/>
    <w:rsid w:val="007D3358"/>
    <w:rsid w:val="00952697"/>
    <w:rsid w:val="00AC13EC"/>
    <w:rsid w:val="00BB03A7"/>
    <w:rsid w:val="00D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561"/>
    <w:rPr>
      <w:color w:val="0000FF" w:themeColor="hyperlink"/>
      <w:u w:val="single"/>
    </w:rPr>
  </w:style>
  <w:style w:type="table" w:customStyle="1" w:styleId="GridTableLight">
    <w:name w:val="Grid Table Light"/>
    <w:basedOn w:val="Standardowy"/>
    <w:uiPriority w:val="40"/>
    <w:rsid w:val="000E15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lp1"/>
    <w:basedOn w:val="Normalny"/>
    <w:link w:val="AkapitzlistZnak"/>
    <w:uiPriority w:val="99"/>
    <w:qFormat/>
    <w:rsid w:val="000E1561"/>
    <w:pPr>
      <w:ind w:left="720"/>
      <w:contextualSpacing/>
    </w:p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99"/>
    <w:qFormat/>
    <w:locked/>
    <w:rsid w:val="000E1561"/>
  </w:style>
  <w:style w:type="paragraph" w:customStyle="1" w:styleId="Standard">
    <w:name w:val="Standard"/>
    <w:rsid w:val="000E1561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E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58"/>
  </w:style>
  <w:style w:type="paragraph" w:styleId="Stopka">
    <w:name w:val="footer"/>
    <w:basedOn w:val="Normalny"/>
    <w:link w:val="StopkaZnak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561"/>
    <w:rPr>
      <w:color w:val="0000FF" w:themeColor="hyperlink"/>
      <w:u w:val="single"/>
    </w:rPr>
  </w:style>
  <w:style w:type="table" w:customStyle="1" w:styleId="GridTableLight">
    <w:name w:val="Grid Table Light"/>
    <w:basedOn w:val="Standardowy"/>
    <w:uiPriority w:val="40"/>
    <w:rsid w:val="000E15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lp1"/>
    <w:basedOn w:val="Normalny"/>
    <w:link w:val="AkapitzlistZnak"/>
    <w:uiPriority w:val="99"/>
    <w:qFormat/>
    <w:rsid w:val="000E1561"/>
    <w:pPr>
      <w:ind w:left="720"/>
      <w:contextualSpacing/>
    </w:p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99"/>
    <w:qFormat/>
    <w:locked/>
    <w:rsid w:val="000E1561"/>
  </w:style>
  <w:style w:type="paragraph" w:customStyle="1" w:styleId="Standard">
    <w:name w:val="Standard"/>
    <w:rsid w:val="000E1561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E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58"/>
  </w:style>
  <w:style w:type="paragraph" w:styleId="Stopka">
    <w:name w:val="footer"/>
    <w:basedOn w:val="Normalny"/>
    <w:link w:val="StopkaZnak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na-lata-2021-2027/prawo-i-dokumenty/wytyczne/wytyczne-dotyczace-monitorowania-postepu-rzeczowego-realizacji-programow-na-lata-2021-202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po.opolskie.pl/?p=48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aluacja.gov.pl/media/111638/LWK_EFS_10_2022_v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Długosz-Bilińska</dc:creator>
  <cp:lastModifiedBy>Monika Długosz-Bilińska</cp:lastModifiedBy>
  <cp:revision>9</cp:revision>
  <cp:lastPrinted>2023-05-08T11:18:00Z</cp:lastPrinted>
  <dcterms:created xsi:type="dcterms:W3CDTF">2023-04-25T09:48:00Z</dcterms:created>
  <dcterms:modified xsi:type="dcterms:W3CDTF">2023-05-08T11:41:00Z</dcterms:modified>
</cp:coreProperties>
</file>